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CAC5" w14:textId="77777777" w:rsidR="009F70CC" w:rsidRDefault="00EF2A13" w:rsidP="00EF2A13">
      <w:pPr>
        <w:pStyle w:val="NoSpacing"/>
      </w:pPr>
      <w:r>
        <w:t>VOLLAPALOOZA</w:t>
      </w:r>
    </w:p>
    <w:p w14:paraId="16EAC049" w14:textId="77777777" w:rsidR="009F70CC" w:rsidRDefault="009F70CC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30"/>
      </w:tblGrid>
      <w:tr w:rsidR="009F70CC" w14:paraId="0367FB2D" w14:textId="77777777">
        <w:tc>
          <w:tcPr>
            <w:tcW w:w="10440" w:type="dxa"/>
            <w:gridSpan w:val="2"/>
            <w:shd w:val="clear" w:color="auto" w:fill="C12033"/>
          </w:tcPr>
          <w:p w14:paraId="46DF6665" w14:textId="77777777" w:rsidR="009F70CC" w:rsidRDefault="00EF2A13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</w:p>
        </w:tc>
      </w:tr>
      <w:tr w:rsidR="009F70CC" w14:paraId="5294AFDD" w14:textId="77777777">
        <w:tc>
          <w:tcPr>
            <w:tcW w:w="10440" w:type="dxa"/>
            <w:gridSpan w:val="2"/>
          </w:tcPr>
          <w:p w14:paraId="471B8F97" w14:textId="364D2A5F" w:rsidR="009F70CC" w:rsidRDefault="00EF2A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</w:t>
            </w:r>
            <w:r w:rsidR="00E36B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A73D74">
              <w:rPr>
                <w:rFonts w:ascii="Arial" w:eastAsia="Arial" w:hAnsi="Arial" w:cs="Arial"/>
                <w:color w:val="000000"/>
                <w:sz w:val="22"/>
                <w:szCs w:val="22"/>
              </w:rPr>
              <w:t>demonstrate</w:t>
            </w:r>
            <w:r w:rsidR="00E36B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variety of volleyball skills focusing on form and technique.</w:t>
            </w:r>
          </w:p>
          <w:p w14:paraId="07606E13" w14:textId="4FC11572" w:rsidR="009F70CC" w:rsidRDefault="00EF2A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I will </w:t>
            </w:r>
            <w:r w:rsidR="00E36B64">
              <w:rPr>
                <w:rFonts w:ascii="Arial" w:eastAsia="Arial" w:hAnsi="Arial" w:cs="Arial"/>
                <w:color w:val="000000"/>
                <w:sz w:val="22"/>
                <w:szCs w:val="22"/>
              </w:rPr>
              <w:t>follow the instructions and apply the strategies/techniques for each station.</w:t>
            </w:r>
          </w:p>
          <w:p w14:paraId="196B76B1" w14:textId="5A7B3CB0" w:rsidR="009F70CC" w:rsidRDefault="00EF2A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</w:t>
            </w:r>
            <w:r w:rsidR="00E36B64">
              <w:rPr>
                <w:rFonts w:ascii="Arial" w:eastAsia="Arial" w:hAnsi="Arial" w:cs="Arial"/>
                <w:color w:val="000000"/>
                <w:sz w:val="22"/>
                <w:szCs w:val="22"/>
              </w:rPr>
              <w:t>actively engage and work to improve my volleyball skills.</w:t>
            </w:r>
          </w:p>
          <w:p w14:paraId="4AB52916" w14:textId="76A2EA28" w:rsidR="009F70CC" w:rsidRDefault="00EF2A13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I will </w:t>
            </w:r>
            <w:r w:rsidR="00E36B64">
              <w:rPr>
                <w:rFonts w:ascii="Arial" w:eastAsia="Arial" w:hAnsi="Arial" w:cs="Arial"/>
                <w:sz w:val="22"/>
                <w:szCs w:val="22"/>
              </w:rPr>
              <w:t>willingly try new activities and skills.</w:t>
            </w:r>
          </w:p>
          <w:p w14:paraId="22F60118" w14:textId="77777777" w:rsidR="009F70CC" w:rsidRDefault="009F70C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18F06E70" w14:textId="77777777">
        <w:tc>
          <w:tcPr>
            <w:tcW w:w="5310" w:type="dxa"/>
            <w:shd w:val="clear" w:color="auto" w:fill="C12033"/>
          </w:tcPr>
          <w:p w14:paraId="2D2B8954" w14:textId="77777777" w:rsidR="009F70CC" w:rsidRDefault="00EF2A13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7A401F66" w14:textId="77777777" w:rsidR="009F70CC" w:rsidRDefault="00EF2A13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48794B8C" wp14:editId="26B2A1AD">
                  <wp:extent cx="2678906" cy="2678906"/>
                  <wp:effectExtent l="0" t="0" r="1270" b="127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017BA0" w14:textId="77777777" w:rsidR="009F70CC" w:rsidRDefault="009F70CC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9F70CC" w14:paraId="42A69D57" w14:textId="77777777">
        <w:tc>
          <w:tcPr>
            <w:tcW w:w="5310" w:type="dxa"/>
          </w:tcPr>
          <w:p w14:paraId="5AC972D6" w14:textId="77777777" w:rsidR="009F70CC" w:rsidRDefault="00EF2A1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7D4765C3" w14:textId="2E969D33" w:rsidR="009F70CC" w:rsidRDefault="00E36B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Variety of volleyball options (e.g., traditional, trainer, foam</w:t>
            </w:r>
            <w:r w:rsidR="007F1B2C">
              <w:rPr>
                <w:rFonts w:ascii="Arial" w:eastAsia="Arial" w:hAnsi="Arial" w:cs="Arial"/>
                <w:sz w:val="22"/>
                <w:szCs w:val="22"/>
              </w:rPr>
              <w:t xml:space="preserve"> ball</w:t>
            </w:r>
            <w:r>
              <w:rPr>
                <w:rFonts w:ascii="Arial" w:eastAsia="Arial" w:hAnsi="Arial" w:cs="Arial"/>
                <w:sz w:val="22"/>
                <w:szCs w:val="22"/>
              </w:rPr>
              <w:t>, beach</w:t>
            </w:r>
            <w:r w:rsidR="009178F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ball)</w:t>
            </w:r>
          </w:p>
          <w:p w14:paraId="3717EADE" w14:textId="6B792672" w:rsidR="009F70CC" w:rsidRDefault="00EF2A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Volleyball Station Cards</w:t>
            </w:r>
            <w:r w:rsidR="007F1B2C">
              <w:rPr>
                <w:rFonts w:ascii="Arial" w:eastAsia="Arial" w:hAnsi="Arial" w:cs="Arial"/>
                <w:sz w:val="22"/>
                <w:szCs w:val="22"/>
              </w:rPr>
              <w:t xml:space="preserve"> and Task Tents</w:t>
            </w:r>
          </w:p>
          <w:p w14:paraId="525D0AB2" w14:textId="48F8C602" w:rsidR="00E41149" w:rsidRPr="00E41149" w:rsidRDefault="00E36B64" w:rsidP="00E411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Cones to identify boundaries for each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station</w:t>
            </w:r>
            <w:proofErr w:type="gramEnd"/>
          </w:p>
          <w:p w14:paraId="2B9A1866" w14:textId="60631E31" w:rsidR="009F70CC" w:rsidRPr="007F1B2C" w:rsidRDefault="00EF2A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F1B2C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 xml:space="preserve">See </w:t>
            </w:r>
            <w:r w:rsidR="00E36B64" w:rsidRPr="007F1B2C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 xml:space="preserve">station cards for </w:t>
            </w:r>
            <w:r w:rsidR="00A73D74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 xml:space="preserve">specific </w:t>
            </w:r>
            <w:r w:rsidRPr="007F1B2C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 xml:space="preserve">equipment needs </w:t>
            </w:r>
            <w:r w:rsidR="00E36B64" w:rsidRPr="007F1B2C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at</w:t>
            </w:r>
            <w:r w:rsidRPr="007F1B2C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 xml:space="preserve"> each </w:t>
            </w:r>
            <w:proofErr w:type="gramStart"/>
            <w:r w:rsidRPr="007F1B2C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station</w:t>
            </w:r>
            <w:proofErr w:type="gramEnd"/>
          </w:p>
          <w:p w14:paraId="0462ABD5" w14:textId="77777777" w:rsidR="009F70CC" w:rsidRDefault="00EF2A1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Set-Up:</w:t>
            </w:r>
          </w:p>
          <w:p w14:paraId="5866B024" w14:textId="0008D627" w:rsidR="009F70CC" w:rsidRDefault="00EF2A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Set up</w:t>
            </w:r>
            <w:r w:rsidR="00A02BD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grid for the </w:t>
            </w:r>
            <w:r w:rsidR="003E63C5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r w:rsidR="00A02BD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stations and place equipment needed at each station.</w:t>
            </w:r>
          </w:p>
          <w:p w14:paraId="768043E5" w14:textId="14BE8BCF" w:rsidR="009F70CC" w:rsidRDefault="00A02B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Place a task tent in each grid with the station card for that station.</w:t>
            </w:r>
          </w:p>
          <w:p w14:paraId="6AB72E45" w14:textId="68A2EE6A" w:rsidR="009F70CC" w:rsidRPr="00A02BD6" w:rsidRDefault="00A02BD6" w:rsidP="00A02B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Divide students into </w:t>
            </w:r>
            <w:r w:rsidR="003E63C5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equal groups. One group will begin at each station.</w:t>
            </w:r>
          </w:p>
        </w:tc>
        <w:tc>
          <w:tcPr>
            <w:tcW w:w="5130" w:type="dxa"/>
            <w:vMerge/>
          </w:tcPr>
          <w:p w14:paraId="10770FD2" w14:textId="77777777" w:rsidR="009F70CC" w:rsidRDefault="009F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46E00CD7" w14:textId="77777777">
        <w:tc>
          <w:tcPr>
            <w:tcW w:w="10440" w:type="dxa"/>
            <w:gridSpan w:val="2"/>
            <w:shd w:val="clear" w:color="auto" w:fill="C12033"/>
          </w:tcPr>
          <w:p w14:paraId="0CEEF956" w14:textId="77777777" w:rsidR="009F70CC" w:rsidRDefault="00EF2A13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9F70CC" w14:paraId="0E08EF89" w14:textId="77777777">
        <w:tc>
          <w:tcPr>
            <w:tcW w:w="10440" w:type="dxa"/>
            <w:gridSpan w:val="2"/>
          </w:tcPr>
          <w:p w14:paraId="1C598194" w14:textId="28BB5FF2" w:rsidR="009F70CC" w:rsidRDefault="00EF2A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This activity is called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Vollapalooza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F1B2C">
              <w:rPr>
                <w:rFonts w:ascii="Arial" w:eastAsia="Arial" w:hAnsi="Arial" w:cs="Arial"/>
                <w:sz w:val="22"/>
                <w:szCs w:val="22"/>
              </w:rPr>
              <w:t xml:space="preserve"> We will be rotating through stations that allow us to review our volleyball skills before we move into small-sided and traditional games.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object of </w:t>
            </w:r>
            <w:r w:rsidR="002448F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this activity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 for </w:t>
            </w:r>
            <w:r w:rsidR="00A73D7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you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rotate through </w:t>
            </w:r>
            <w:r w:rsidR="003E63C5">
              <w:rPr>
                <w:rFonts w:ascii="Arial" w:eastAsia="Arial" w:hAnsi="Arial" w:cs="Arial"/>
                <w:sz w:val="22"/>
                <w:szCs w:val="22"/>
              </w:rPr>
              <w:t>five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84198">
              <w:rPr>
                <w:rFonts w:ascii="Arial" w:eastAsia="Arial" w:hAnsi="Arial" w:cs="Arial"/>
                <w:sz w:val="22"/>
                <w:szCs w:val="22"/>
              </w:rPr>
              <w:t>skill challenges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73D74">
              <w:rPr>
                <w:rFonts w:ascii="Arial" w:eastAsia="Arial" w:hAnsi="Arial" w:cs="Arial"/>
                <w:sz w:val="22"/>
                <w:szCs w:val="22"/>
              </w:rPr>
              <w:t xml:space="preserve">focusing on different volleyball skills we will </w:t>
            </w:r>
            <w:r w:rsidR="00A84198">
              <w:rPr>
                <w:rFonts w:ascii="Arial" w:eastAsia="Arial" w:hAnsi="Arial" w:cs="Arial"/>
                <w:sz w:val="22"/>
                <w:szCs w:val="22"/>
              </w:rPr>
              <w:t>need to apply</w:t>
            </w:r>
            <w:r w:rsidR="00A73D74">
              <w:rPr>
                <w:rFonts w:ascii="Arial" w:eastAsia="Arial" w:hAnsi="Arial" w:cs="Arial"/>
                <w:sz w:val="22"/>
                <w:szCs w:val="22"/>
              </w:rPr>
              <w:t xml:space="preserve"> during games (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forearm pass </w:t>
            </w:r>
            <w:r w:rsidR="002448F4">
              <w:rPr>
                <w:rFonts w:ascii="Arial" w:eastAsia="Arial" w:hAnsi="Arial" w:cs="Arial"/>
                <w:sz w:val="22"/>
                <w:szCs w:val="22"/>
              </w:rPr>
              <w:t>[</w:t>
            </w:r>
            <w:r>
              <w:rPr>
                <w:rFonts w:ascii="Arial" w:eastAsia="Arial" w:hAnsi="Arial" w:cs="Arial"/>
                <w:sz w:val="22"/>
                <w:szCs w:val="22"/>
              </w:rPr>
              <w:t>bump</w:t>
            </w:r>
            <w:r w:rsidR="002448F4">
              <w:rPr>
                <w:rFonts w:ascii="Arial" w:eastAsia="Arial" w:hAnsi="Arial" w:cs="Arial"/>
                <w:sz w:val="22"/>
                <w:szCs w:val="22"/>
              </w:rPr>
              <w:t>]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overhead pass </w:t>
            </w:r>
            <w:r w:rsidR="002448F4">
              <w:rPr>
                <w:rFonts w:ascii="Arial" w:eastAsia="Arial" w:hAnsi="Arial" w:cs="Arial"/>
                <w:sz w:val="22"/>
                <w:szCs w:val="22"/>
              </w:rPr>
              <w:t>[</w:t>
            </w:r>
            <w:r>
              <w:rPr>
                <w:rFonts w:ascii="Arial" w:eastAsia="Arial" w:hAnsi="Arial" w:cs="Arial"/>
                <w:sz w:val="22"/>
                <w:szCs w:val="22"/>
              </w:rPr>
              <w:t>set</w:t>
            </w:r>
            <w:r w:rsidR="002448F4">
              <w:rPr>
                <w:rFonts w:ascii="Arial" w:eastAsia="Arial" w:hAnsi="Arial" w:cs="Arial"/>
                <w:sz w:val="22"/>
                <w:szCs w:val="22"/>
              </w:rPr>
              <w:t>]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attack </w:t>
            </w:r>
            <w:r w:rsidR="002448F4">
              <w:rPr>
                <w:rFonts w:ascii="Arial" w:eastAsia="Arial" w:hAnsi="Arial" w:cs="Arial"/>
                <w:sz w:val="22"/>
                <w:szCs w:val="22"/>
              </w:rPr>
              <w:t>[</w:t>
            </w:r>
            <w:r>
              <w:rPr>
                <w:rFonts w:ascii="Arial" w:eastAsia="Arial" w:hAnsi="Arial" w:cs="Arial"/>
                <w:sz w:val="22"/>
                <w:szCs w:val="22"/>
              </w:rPr>
              <w:t>spike</w:t>
            </w:r>
            <w:r w:rsidR="002448F4">
              <w:rPr>
                <w:rFonts w:ascii="Arial" w:eastAsia="Arial" w:hAnsi="Arial" w:cs="Arial"/>
                <w:sz w:val="22"/>
                <w:szCs w:val="22"/>
              </w:rPr>
              <w:t>]</w:t>
            </w:r>
            <w:r>
              <w:rPr>
                <w:rFonts w:ascii="Arial" w:eastAsia="Arial" w:hAnsi="Arial" w:cs="Arial"/>
                <w:sz w:val="22"/>
                <w:szCs w:val="22"/>
              </w:rPr>
              <w:t>, underhand serve</w:t>
            </w:r>
            <w:r w:rsidR="00A73D74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overhead serve</w:t>
            </w:r>
            <w:r w:rsidR="00A73D74"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D8A24A6" w14:textId="77777777" w:rsidR="00A73D74" w:rsidRDefault="00A73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Each station has a station card that details the skill and activity that is the focus for that station. </w:t>
            </w:r>
            <w:r w:rsidRPr="00A73D74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Teachers: talk through and/or demonstrate each station at the beginning of the lesson.</w:t>
            </w:r>
          </w:p>
          <w:p w14:paraId="3BD5E93C" w14:textId="7EAAC0DB" w:rsidR="009F70CC" w:rsidRPr="00A73D74" w:rsidRDefault="00EF2A13" w:rsidP="00A73D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On the start signal</w:t>
            </w:r>
            <w:r w:rsidR="00A73D7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you will </w:t>
            </w:r>
            <w:r w:rsidR="00A73D7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review the station card at your station and begin the 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skill </w:t>
            </w:r>
            <w:r w:rsidR="00A73D7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challenge. </w:t>
            </w:r>
            <w:r w:rsidRPr="00A73D74">
              <w:rPr>
                <w:rFonts w:ascii="Arial" w:eastAsia="Arial" w:hAnsi="Arial" w:cs="Arial"/>
                <w:color w:val="000000"/>
                <w:sz w:val="22"/>
                <w:szCs w:val="22"/>
              </w:rPr>
              <w:t>On the stop signal</w:t>
            </w:r>
            <w:r w:rsidR="00A73D7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you will put away any equipment used and rotate to the next station. Wait for the start signal before you begin at the new station. </w:t>
            </w:r>
          </w:p>
          <w:p w14:paraId="18618674" w14:textId="2DA4058C" w:rsidR="009F70CC" w:rsidRDefault="00A841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Each time you move to a new station, I encourage you to work with new classmates that you haven’t worked with during the previous skill challenges.</w:t>
            </w:r>
          </w:p>
          <w:p w14:paraId="706FD9F1" w14:textId="77777777" w:rsidR="009F70CC" w:rsidRDefault="009F70C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533EDA1C" w14:textId="77777777">
        <w:tc>
          <w:tcPr>
            <w:tcW w:w="10440" w:type="dxa"/>
            <w:gridSpan w:val="2"/>
            <w:shd w:val="clear" w:color="auto" w:fill="C12033"/>
          </w:tcPr>
          <w:p w14:paraId="07DA0D5A" w14:textId="77777777" w:rsidR="009F70CC" w:rsidRDefault="00EF2A13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9F70CC" w14:paraId="0DB84674" w14:textId="77777777">
        <w:tc>
          <w:tcPr>
            <w:tcW w:w="10440" w:type="dxa"/>
            <w:gridSpan w:val="2"/>
          </w:tcPr>
          <w:p w14:paraId="2D4248A7" w14:textId="2FC4BCF1" w:rsidR="009F70CC" w:rsidRDefault="00947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Level 1: 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>Complete stations as described above.</w:t>
            </w:r>
          </w:p>
          <w:p w14:paraId="62E9F865" w14:textId="2AF6646D" w:rsidR="009F70CC" w:rsidRDefault="00947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Level 2: 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>Have note cards and pencils at each station where students can add their own student</w:t>
            </w:r>
            <w:r w:rsidR="002448F4"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>created challenges for each skill. Then rotate through the stations a second time so students can choose to complete the teacher</w:t>
            </w:r>
            <w:r w:rsidR="002448F4"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>created or the student</w:t>
            </w:r>
            <w:r w:rsidR="002448F4"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created challenges for that skill. </w:t>
            </w:r>
          </w:p>
          <w:p w14:paraId="44EB30B4" w14:textId="77777777" w:rsidR="009F70CC" w:rsidRDefault="009F7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F70CC" w14:paraId="7AFCAE7E" w14:textId="77777777">
        <w:tc>
          <w:tcPr>
            <w:tcW w:w="10440" w:type="dxa"/>
            <w:gridSpan w:val="2"/>
            <w:shd w:val="clear" w:color="auto" w:fill="C12033"/>
          </w:tcPr>
          <w:p w14:paraId="71739A8B" w14:textId="77777777" w:rsidR="009F70CC" w:rsidRDefault="00EF2A13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TEACHING CUES</w:t>
            </w:r>
          </w:p>
        </w:tc>
      </w:tr>
      <w:tr w:rsidR="009F70CC" w14:paraId="063B4225" w14:textId="77777777">
        <w:tc>
          <w:tcPr>
            <w:tcW w:w="10440" w:type="dxa"/>
            <w:gridSpan w:val="2"/>
          </w:tcPr>
          <w:p w14:paraId="4ABF1C79" w14:textId="12E09D4E" w:rsidR="009F70CC" w:rsidRDefault="00EF2A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1: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Listen for the stop/start signals to know when to rotate stations.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0B41BCF" w14:textId="450B19F9" w:rsidR="009F70CC" w:rsidRDefault="00EF2A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2: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>Choose the type of ball you feel most comfortable with for each station (e.g., traditional, trainer, foam ball, beach</w:t>
            </w:r>
            <w:r w:rsidR="009178F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>ball).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5DB398A" w14:textId="4F3B5954" w:rsidR="009F70CC" w:rsidRPr="00A84198" w:rsidRDefault="00EF2A13" w:rsidP="00A841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3: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A84198">
              <w:rPr>
                <w:rFonts w:ascii="Arial" w:eastAsia="Arial" w:hAnsi="Arial" w:cs="Arial"/>
                <w:color w:val="000000"/>
                <w:sz w:val="22"/>
                <w:szCs w:val="22"/>
              </w:rPr>
              <w:t>Be open to trying new volleyball skills you may have never tried before.</w:t>
            </w:r>
          </w:p>
        </w:tc>
      </w:tr>
    </w:tbl>
    <w:p w14:paraId="50C84C11" w14:textId="2255F7C4" w:rsidR="009F70CC" w:rsidRPr="00670657" w:rsidRDefault="00EF2A13" w:rsidP="0067065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VOLLAPALOOZA </w:t>
      </w:r>
      <w:r>
        <w:rPr>
          <w:rFonts w:ascii="Arial" w:eastAsia="Arial" w:hAnsi="Arial" w:cs="Arial"/>
          <w:sz w:val="20"/>
          <w:szCs w:val="20"/>
        </w:rPr>
        <w:t>(continued…)</w:t>
      </w:r>
    </w:p>
    <w:p w14:paraId="2F1B1739" w14:textId="77777777" w:rsidR="009F70CC" w:rsidRDefault="009F70CC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70CC" w14:paraId="3F592513" w14:textId="77777777">
        <w:tc>
          <w:tcPr>
            <w:tcW w:w="10440" w:type="dxa"/>
            <w:shd w:val="clear" w:color="auto" w:fill="C12033"/>
          </w:tcPr>
          <w:p w14:paraId="3D56A087" w14:textId="77777777" w:rsidR="009F70CC" w:rsidRDefault="00EF2A13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FOR LEARNING</w:t>
            </w:r>
          </w:p>
        </w:tc>
      </w:tr>
      <w:tr w:rsidR="009F70CC" w14:paraId="2D1ABCF9" w14:textId="77777777">
        <w:tc>
          <w:tcPr>
            <w:tcW w:w="10440" w:type="dxa"/>
          </w:tcPr>
          <w:p w14:paraId="5A09245D" w14:textId="65DC840B" w:rsidR="000B6ECD" w:rsidRPr="000B6ECD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UDL 1: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Use modified equipment as needed (e.g., foam ball, balloon or beach ball with bell attached).</w:t>
            </w:r>
          </w:p>
          <w:p w14:paraId="60A2AEC5" w14:textId="5B471A60" w:rsidR="000B6ECD" w:rsidRPr="000B6ECD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UDL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Use verbal cues and visual aids along with demonstrations.</w:t>
            </w:r>
          </w:p>
          <w:p w14:paraId="0C6EC286" w14:textId="77777777" w:rsidR="009F70CC" w:rsidRPr="000B6ECD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UDL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Use peer partners as appropriate.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108B453" w14:textId="77777777" w:rsidR="000B6ECD" w:rsidRDefault="000B6ECD" w:rsidP="000B6EC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UDL 4: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Identify a group leader for each group that can assist with reading station cards/directions.</w:t>
            </w:r>
          </w:p>
          <w:p w14:paraId="031DE65A" w14:textId="6B4B40FA" w:rsidR="000B6ECD" w:rsidRPr="000B6ECD" w:rsidRDefault="000B6ECD" w:rsidP="000B6ECD">
            <w:pPr>
              <w:pStyle w:val="ListParagraph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58A7D22C" w14:textId="77777777">
        <w:tc>
          <w:tcPr>
            <w:tcW w:w="10440" w:type="dxa"/>
            <w:shd w:val="clear" w:color="auto" w:fill="C12033"/>
          </w:tcPr>
          <w:p w14:paraId="75D071BA" w14:textId="77777777" w:rsidR="009F70CC" w:rsidRDefault="00EF2A13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9F70CC" w14:paraId="1ECE537D" w14:textId="77777777">
        <w:tc>
          <w:tcPr>
            <w:tcW w:w="10440" w:type="dxa"/>
          </w:tcPr>
          <w:p w14:paraId="603916B4" w14:textId="77777777" w:rsidR="000B6ECD" w:rsidRDefault="000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6EA922C4" w14:textId="5207B5A4" w:rsidR="009F70CC" w:rsidRDefault="000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Forearm Pass (bump), Overhead Pass (set), Spike, Serve, Spirit of the Game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590CB27" w14:textId="494ECA06" w:rsidR="000B6ECD" w:rsidRDefault="000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1178C887" w14:textId="77777777">
        <w:tc>
          <w:tcPr>
            <w:tcW w:w="10440" w:type="dxa"/>
            <w:shd w:val="clear" w:color="auto" w:fill="C12033"/>
          </w:tcPr>
          <w:p w14:paraId="6C659E5A" w14:textId="77777777" w:rsidR="009F70CC" w:rsidRDefault="00EF2A13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9F70CC" w14:paraId="3C9E8723" w14:textId="77777777">
        <w:tc>
          <w:tcPr>
            <w:tcW w:w="10440" w:type="dxa"/>
          </w:tcPr>
          <w:p w14:paraId="61B190D3" w14:textId="67B866AE" w:rsidR="009F70CC" w:rsidRDefault="008D107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Etiquette:</w:t>
            </w:r>
          </w:p>
          <w:p w14:paraId="740DC7D0" w14:textId="70900E4A" w:rsidR="009F70CC" w:rsidRDefault="00EF2A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(Grade</w:t>
            </w:r>
            <w:r w:rsidR="00947C5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47C5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9-12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) </w:t>
            </w:r>
            <w:r w:rsidR="008D107B" w:rsidRPr="008D107B">
              <w:rPr>
                <w:rFonts w:ascii="Arial" w:eastAsia="Arial" w:hAnsi="Arial" w:cs="Arial"/>
                <w:color w:val="000000"/>
                <w:sz w:val="22"/>
                <w:szCs w:val="22"/>
              </w:rPr>
              <w:t>Exhibits proper etiquette, respect for others, and teamwork while engaging in physical activity and/or social dance.</w:t>
            </w:r>
          </w:p>
          <w:p w14:paraId="6EC9F89F" w14:textId="5553E272" w:rsidR="008D107B" w:rsidRDefault="008D107B" w:rsidP="008D1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E2324D4" w14:textId="1B756741" w:rsidR="008D107B" w:rsidRPr="008D107B" w:rsidRDefault="008D107B" w:rsidP="008D1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D107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Working with Others:</w:t>
            </w:r>
          </w:p>
          <w:p w14:paraId="4FB77C9C" w14:textId="31AEA5A8" w:rsidR="009F70CC" w:rsidRDefault="00EF2A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(Grade</w:t>
            </w:r>
            <w:r w:rsidR="00947C5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 9-12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8D107B" w:rsidRPr="008D107B">
              <w:rPr>
                <w:rFonts w:ascii="Arial" w:eastAsia="Arial" w:hAnsi="Arial" w:cs="Arial"/>
                <w:color w:val="000000"/>
                <w:sz w:val="22"/>
                <w:szCs w:val="22"/>
              </w:rPr>
              <w:t>Uses communication skills and strategies that promote positive team/group dynamics.</w:t>
            </w:r>
          </w:p>
          <w:p w14:paraId="6942A41B" w14:textId="77777777" w:rsidR="009F70CC" w:rsidRDefault="009F70CC" w:rsidP="0094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786E1287" w14:textId="77777777">
        <w:tc>
          <w:tcPr>
            <w:tcW w:w="10440" w:type="dxa"/>
            <w:shd w:val="clear" w:color="auto" w:fill="C12033"/>
          </w:tcPr>
          <w:p w14:paraId="28B30FB3" w14:textId="77777777" w:rsidR="009F70CC" w:rsidRDefault="00EF2A13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  <w:tr w:rsidR="009F70CC" w14:paraId="3F847643" w14:textId="77777777">
        <w:tc>
          <w:tcPr>
            <w:tcW w:w="10440" w:type="dxa"/>
          </w:tcPr>
          <w:p w14:paraId="334B345A" w14:textId="77777777" w:rsidR="000B6ECD" w:rsidRPr="000B6ECD" w:rsidRDefault="000B6ECD" w:rsidP="000B6ECD">
            <w:pPr>
              <w:pStyle w:val="ListParagraph"/>
              <w:ind w:left="3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DC13D8B" w14:textId="60D700EB" w:rsidR="000B6ECD" w:rsidRPr="000B6ECD" w:rsidRDefault="000B6ECD" w:rsidP="000B6EC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1: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How would you describe the spirit of the game to a new student in our school? </w:t>
            </w:r>
          </w:p>
          <w:p w14:paraId="0779A5B7" w14:textId="77777777" w:rsidR="000B6ECD" w:rsidRPr="000B6ECD" w:rsidRDefault="000B6ECD" w:rsidP="000B6EC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2: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What do you know about the spirit of the game? (Think beyond the definition.)</w:t>
            </w:r>
          </w:p>
          <w:p w14:paraId="6A7FF82E" w14:textId="3FE9CD66" w:rsidR="009F70CC" w:rsidRPr="000B6ECD" w:rsidRDefault="000B6ECD" w:rsidP="000B6EC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3: </w:t>
            </w:r>
            <w:r w:rsidRPr="000B6ECD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How would you describe a game played with the spirit of the game? How would you describe a game played without it?</w:t>
            </w:r>
            <w:r w:rsidRPr="000B6EC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62A4ACE" w14:textId="77777777" w:rsidR="009F70CC" w:rsidRDefault="009F70CC" w:rsidP="000B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7B9AF5F" w14:textId="77777777" w:rsidR="009F70CC" w:rsidRDefault="009F70CC">
      <w:pPr>
        <w:rPr>
          <w:rFonts w:ascii="Arial" w:eastAsia="Arial" w:hAnsi="Arial" w:cs="Arial"/>
        </w:rPr>
      </w:pPr>
    </w:p>
    <w:p w14:paraId="0989B0D9" w14:textId="65BBD2CB" w:rsidR="009F70CC" w:rsidRDefault="009F70CC">
      <w:pPr>
        <w:rPr>
          <w:rFonts w:ascii="Arial" w:eastAsia="Arial" w:hAnsi="Arial" w:cs="Arial"/>
        </w:rPr>
      </w:pPr>
    </w:p>
    <w:sectPr w:rsidR="009F70CC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A519" w14:textId="77777777" w:rsidR="009323FA" w:rsidRDefault="009323FA">
      <w:r>
        <w:separator/>
      </w:r>
    </w:p>
  </w:endnote>
  <w:endnote w:type="continuationSeparator" w:id="0">
    <w:p w14:paraId="15D21DCB" w14:textId="77777777" w:rsidR="009323FA" w:rsidRDefault="0093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EF2A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7C45DBB5">
          <wp:simplePos x="0" y="0"/>
          <wp:positionH relativeFrom="column">
            <wp:posOffset>1069</wp:posOffset>
          </wp:positionH>
          <wp:positionV relativeFrom="paragraph">
            <wp:posOffset>-94575</wp:posOffset>
          </wp:positionV>
          <wp:extent cx="6309360" cy="473497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E227" w14:textId="77777777" w:rsidR="009323FA" w:rsidRDefault="009323FA">
      <w:r>
        <w:separator/>
      </w:r>
    </w:p>
  </w:footnote>
  <w:footnote w:type="continuationSeparator" w:id="0">
    <w:p w14:paraId="0E1BD1BD" w14:textId="77777777" w:rsidR="009323FA" w:rsidRDefault="0093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77777777" w:rsidR="009F70CC" w:rsidRDefault="00EF2A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0CD1503A">
          <wp:simplePos x="0" y="0"/>
          <wp:positionH relativeFrom="column">
            <wp:posOffset>-200025</wp:posOffset>
          </wp:positionH>
          <wp:positionV relativeFrom="paragraph">
            <wp:posOffset>-139065</wp:posOffset>
          </wp:positionV>
          <wp:extent cx="6766545" cy="724987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19535454">
    <w:abstractNumId w:val="2"/>
  </w:num>
  <w:num w:numId="2" w16cid:durableId="1781753425">
    <w:abstractNumId w:val="4"/>
  </w:num>
  <w:num w:numId="3" w16cid:durableId="1508596274">
    <w:abstractNumId w:val="0"/>
  </w:num>
  <w:num w:numId="4" w16cid:durableId="151529805">
    <w:abstractNumId w:val="3"/>
  </w:num>
  <w:num w:numId="5" w16cid:durableId="212981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B6ECD"/>
    <w:rsid w:val="002448F4"/>
    <w:rsid w:val="002D7022"/>
    <w:rsid w:val="003E63C5"/>
    <w:rsid w:val="005E2D1B"/>
    <w:rsid w:val="006306A4"/>
    <w:rsid w:val="00670657"/>
    <w:rsid w:val="006930F7"/>
    <w:rsid w:val="0076061A"/>
    <w:rsid w:val="007F1B2C"/>
    <w:rsid w:val="00846C76"/>
    <w:rsid w:val="008D107B"/>
    <w:rsid w:val="00910541"/>
    <w:rsid w:val="009178FE"/>
    <w:rsid w:val="009323FA"/>
    <w:rsid w:val="0093609C"/>
    <w:rsid w:val="009371E0"/>
    <w:rsid w:val="00941D3C"/>
    <w:rsid w:val="00947C59"/>
    <w:rsid w:val="009648DC"/>
    <w:rsid w:val="009F70CC"/>
    <w:rsid w:val="00A02BD6"/>
    <w:rsid w:val="00A16E76"/>
    <w:rsid w:val="00A73D74"/>
    <w:rsid w:val="00A84198"/>
    <w:rsid w:val="00B6685D"/>
    <w:rsid w:val="00CB7860"/>
    <w:rsid w:val="00D516AD"/>
    <w:rsid w:val="00DA6933"/>
    <w:rsid w:val="00E11D1E"/>
    <w:rsid w:val="00E36B64"/>
    <w:rsid w:val="00E41149"/>
    <w:rsid w:val="00EF2A13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2448F4"/>
  </w:style>
  <w:style w:type="paragraph" w:styleId="NoSpacing">
    <w:name w:val="No Spacing"/>
    <w:uiPriority w:val="1"/>
    <w:qFormat/>
    <w:rsid w:val="00EF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Hart</dc:creator>
  <cp:lastModifiedBy>Nichole Wilder</cp:lastModifiedBy>
  <cp:revision>2</cp:revision>
  <dcterms:created xsi:type="dcterms:W3CDTF">2024-06-29T05:17:00Z</dcterms:created>
  <dcterms:modified xsi:type="dcterms:W3CDTF">2024-06-29T05:17:00Z</dcterms:modified>
</cp:coreProperties>
</file>